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36"/>
          <w:szCs w:val="36"/>
          <w:lang w:eastAsia="zh-CN"/>
        </w:rPr>
      </w:pPr>
      <w:r>
        <w:rPr>
          <w:rFonts w:hint="eastAsia" w:eastAsia="宋体"/>
          <w:sz w:val="36"/>
          <w:szCs w:val="36"/>
          <w:lang w:eastAsia="zh-CN"/>
        </w:rPr>
        <w:t>项目需求表</w:t>
      </w:r>
    </w:p>
    <w:p/>
    <w:tbl>
      <w:tblPr>
        <w:tblStyle w:val="2"/>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Layout w:type="fixed"/>
        <w:tblCellMar>
          <w:top w:w="113" w:type="dxa"/>
          <w:left w:w="108" w:type="dxa"/>
          <w:bottom w:w="113" w:type="dxa"/>
          <w:right w:w="108" w:type="dxa"/>
        </w:tblCellMar>
      </w:tblPr>
      <w:tblGrid>
        <w:gridCol w:w="712"/>
        <w:gridCol w:w="1240"/>
        <w:gridCol w:w="1179"/>
        <w:gridCol w:w="6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restart"/>
            <w:tcBorders>
              <w:top w:val="single" w:color="auto" w:sz="4" w:space="0"/>
              <w:left w:val="single" w:color="auto" w:sz="4" w:space="0"/>
              <w:right w:val="single" w:color="auto" w:sz="4" w:space="0"/>
            </w:tcBorders>
            <w:shd w:val="clear" w:color="auto" w:fill="8EAADB" w:themeFill="accent1" w:themeFillTint="99"/>
            <w:vAlign w:val="center"/>
          </w:tcPr>
          <w:p>
            <w:pPr>
              <w:spacing w:line="280" w:lineRule="exact"/>
              <w:ind w:firstLine="120" w:firstLineChars="50"/>
              <w:rPr>
                <w:rFonts w:ascii="宋体" w:hAnsi="宋体"/>
                <w:b/>
              </w:rPr>
            </w:pPr>
            <w:r>
              <w:rPr>
                <w:rFonts w:ascii="宋体" w:hAnsi="宋体"/>
                <w:b/>
              </w:rPr>
              <w:t>1</w:t>
            </w:r>
          </w:p>
        </w:tc>
        <w:tc>
          <w:tcPr>
            <w:tcW w:w="1240"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r>
              <w:rPr>
                <w:rFonts w:hint="eastAsia" w:ascii="Calibri" w:hAnsi="Calibri"/>
                <w:b/>
              </w:rPr>
              <w:t>系统管理平台</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系统平台</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B/S网页端登录，轻量部署，不限使用许可数。包括具体某个单位公用的部门编码、供应商编码、职工信息、库房信息、生产厂商信息、项目信息、病人信息、付款条件、运输方式、HIS连接信息、成本信息等编码信息；以及单位参数、系统联用、核算账套、会计期间设置，单位、账套级参数设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会计科目体系</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定义科目体系名称，科目编码规则及科目体系所属类别等信息。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用户管理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定义系统操作软件的用户，同时可建立角色。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权限管理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ascii="宋体" w:hAnsi="宋体"/>
                <w:szCs w:val="21"/>
              </w:rPr>
              <w:t>管理直属下级管理员的单位权限和模块权限，为直属角色赋予功能权限和数据权限，完成对角色中所有成员批量赋权，并提供权限的查询功能。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基础编码</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添加系统业务所涉及到的币种信息，人员的学历信息，职称信息，病人类别，职工类别，资金来源，地区编码，预算科目，计量单位及项目信息。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成本管理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ascii="宋体" w:hAnsi="宋体"/>
                <w:szCs w:val="21"/>
              </w:rPr>
              <w:t>针对成本管理中设置取消成本系统中月结标识。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系统参数</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使用系统初期需要做的基础设置，包含：单位编码规则、物资类别编码规则、固定资产类别编码规则、药品类别编码规则、预算科目编码规则、无形资产类别编码规则。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日志管理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查询和维护所有用户登录系统后的历史浏览记录信息。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数据管理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按照单位、帐套、模块、年度分别备份和还原数据。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单位信息</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使用系统初期需要做的与单位相关信息的基础设置，包含：部门编码规则、供应商类别规则、职位编码规则、库房编码的设定。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组织架构</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支持组织机构设置，灵活设定组织关系，并可对组织进行启用、关闭等状态设置。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基础字典管理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包含财务会计科目、预算会计科目、账套、组织机构、科室、人员、成本基础数据、资产、物资存货、供应商、库房等基础信息维护，系统设计逻辑清晰，易于操作，学习成本低。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系统配置</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支持各种类型的系统配置，包含：执行配置、表单配置、上传配置、页签配置、列表配置、流程配置、文件导入配置等。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ascii="宋体" w:hAnsi="宋体"/>
                <w:szCs w:val="21"/>
              </w:rPr>
              <w:t>消息管理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支持消息管理，支持相关人员对消息进行催办，并显示消息状态、催办次数、催办时间等。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bottom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p>
        </w:tc>
        <w:tc>
          <w:tcPr>
            <w:tcW w:w="1240" w:type="dxa"/>
            <w:vMerge w:val="continue"/>
            <w:tcBorders>
              <w:left w:val="single" w:color="auto" w:sz="4" w:space="0"/>
              <w:bottom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多组织管理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支持多院区多组织集中管控，满足多院区、多业态、多核算体系的要求。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restart"/>
            <w:tcBorders>
              <w:left w:val="single" w:color="auto" w:sz="4" w:space="0"/>
              <w:right w:val="single" w:color="auto" w:sz="4" w:space="0"/>
            </w:tcBorders>
            <w:shd w:val="clear" w:color="auto" w:fill="8EAADB" w:themeFill="accent1" w:themeFillTint="99"/>
            <w:vAlign w:val="center"/>
          </w:tcPr>
          <w:p>
            <w:pPr>
              <w:spacing w:line="280" w:lineRule="exact"/>
              <w:jc w:val="center"/>
              <w:rPr>
                <w:rFonts w:ascii="宋体" w:hAnsi="宋体"/>
                <w:b/>
              </w:rPr>
            </w:pPr>
            <w:r>
              <w:rPr>
                <w:rFonts w:ascii="宋体" w:hAnsi="宋体"/>
                <w:b/>
              </w:rPr>
              <w:t>2</w:t>
            </w:r>
          </w:p>
        </w:tc>
        <w:tc>
          <w:tcPr>
            <w:tcW w:w="1240" w:type="dxa"/>
            <w:vMerge w:val="restart"/>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r>
              <w:rPr>
                <w:rFonts w:hint="eastAsia"/>
                <w:b/>
              </w:rPr>
              <w:t>财务核算系统</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ascii="宋体" w:hAnsi="宋体"/>
                <w:szCs w:val="21"/>
              </w:rPr>
              <w:t>总账管理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spacing w:line="280" w:lineRule="exact"/>
              <w:rPr>
                <w:rFonts w:ascii="宋体" w:hAnsi="宋体"/>
                <w:szCs w:val="21"/>
              </w:rPr>
            </w:pPr>
            <w:r>
              <w:rPr>
                <w:rFonts w:hint="eastAsia" w:ascii="宋体" w:hAnsi="宋体"/>
                <w:szCs w:val="21"/>
              </w:rPr>
              <w:t>满足医疗机构日常基本财务核算工作中常用的凭证管理、往来核销管理、自定义转账、期末处理、常用账簿查询等业务要求，同时提供了现金流量分析及查询及政府会计业务的相关处理。</w:t>
            </w:r>
          </w:p>
          <w:p>
            <w:pPr>
              <w:numPr>
                <w:ilvl w:val="0"/>
                <w:numId w:val="1"/>
              </w:numPr>
              <w:spacing w:line="280" w:lineRule="exact"/>
              <w:rPr>
                <w:rFonts w:ascii="宋体" w:hAnsi="宋体"/>
                <w:szCs w:val="21"/>
              </w:rPr>
            </w:pPr>
            <w:r>
              <w:rPr>
                <w:rFonts w:hint="eastAsia" w:ascii="宋体" w:hAnsi="宋体"/>
                <w:szCs w:val="21"/>
              </w:rPr>
              <w:t>支持新政府会计制度背景下，同一会计核算系统中实现财务会计和预算会计双重功能平行记账要求，可自动生成差异，进行差异校验。</w:t>
            </w:r>
          </w:p>
          <w:p>
            <w:pPr>
              <w:numPr>
                <w:ilvl w:val="0"/>
                <w:numId w:val="1"/>
              </w:numPr>
              <w:spacing w:line="280" w:lineRule="exact"/>
              <w:rPr>
                <w:rFonts w:ascii="宋体" w:hAnsi="宋体"/>
                <w:szCs w:val="21"/>
              </w:rPr>
            </w:pPr>
            <w:r>
              <w:rPr>
                <w:rFonts w:hint="eastAsia" w:ascii="宋体" w:hAnsi="宋体"/>
                <w:szCs w:val="21"/>
              </w:rPr>
              <w:t>支持凭证制单：包含凭证页面、凭证保存、凭证打印、凭证删除、凭证上张下张、出纳签字、凭证审核、冲销、查询、删除、作废、恢复、复制。支持凭证整理，检查断号和断号整理。</w:t>
            </w:r>
          </w:p>
          <w:p>
            <w:pPr>
              <w:spacing w:line="280" w:lineRule="exact"/>
              <w:rPr>
                <w:rFonts w:hint="eastAsia" w:ascii="宋体" w:hAnsi="宋体"/>
                <w:szCs w:val="21"/>
              </w:rPr>
            </w:pPr>
            <w:r>
              <w:rPr>
                <w:rFonts w:hint="eastAsia" w:ascii="宋体" w:hAnsi="宋体"/>
                <w:szCs w:val="21"/>
              </w:rPr>
              <w:t>系统支持财务报告批量取数,可对总账数据进行批量采集，提高报表从总账采集数据的易用性与效率。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hint="eastAsia"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自动凭证</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hint="eastAsia" w:ascii="宋体" w:hAnsi="宋体"/>
                <w:szCs w:val="21"/>
              </w:rPr>
            </w:pPr>
            <w:r>
              <w:rPr>
                <w:rFonts w:ascii="宋体" w:hAnsi="宋体"/>
                <w:szCs w:val="21"/>
              </w:rPr>
              <w:t>根据HIS收费系统、物资、药品、借款报销等系统自动生成凭证并提供自动凭证维护功能；系统需满足收入、材料、资产、药品、工资等向会计自动生成凭证功能</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hint="eastAsia"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ascii="宋体" w:hAnsi="宋体"/>
                <w:szCs w:val="21"/>
              </w:rPr>
              <w:t>现金银行管理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hint="eastAsia" w:ascii="宋体" w:hAnsi="宋体"/>
                <w:szCs w:val="21"/>
              </w:rPr>
            </w:pPr>
            <w:r>
              <w:rPr>
                <w:rFonts w:ascii="宋体" w:hAnsi="宋体"/>
                <w:szCs w:val="21"/>
              </w:rPr>
              <w:t>包括现金银行出纳流水账登记、现金银行日记账管理、出纳对账、银行对账等日常工作处理。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hint="eastAsia"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szCs w:val="21"/>
              </w:rPr>
            </w:pPr>
            <w:r>
              <w:rPr>
                <w:rFonts w:hint="eastAsia" w:ascii="宋体" w:hAnsi="宋体"/>
                <w:szCs w:val="21"/>
              </w:rPr>
              <w:t>往来帐</w:t>
            </w:r>
          </w:p>
          <w:p>
            <w:pPr>
              <w:spacing w:line="280" w:lineRule="exact"/>
              <w:jc w:val="center"/>
              <w:rPr>
                <w:rFonts w:hint="eastAsia" w:ascii="宋体" w:hAnsi="宋体"/>
                <w:szCs w:val="21"/>
              </w:rPr>
            </w:pPr>
            <w:r>
              <w:rPr>
                <w:rFonts w:hint="eastAsia" w:ascii="宋体" w:hAnsi="宋体"/>
                <w:szCs w:val="21"/>
              </w:rPr>
              <w:t>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szCs w:val="21"/>
              </w:rPr>
            </w:pPr>
            <w:r>
              <w:rPr>
                <w:rFonts w:hint="eastAsia" w:ascii="宋体" w:hAnsi="宋体"/>
                <w:szCs w:val="21"/>
              </w:rPr>
              <w:t>括应收、应付款项的登记、核销、账龄分析和往来核销明细查询和核销清册数据，提供应付票据的登记、核销及应付票据备查簿；</w:t>
            </w:r>
          </w:p>
          <w:p>
            <w:pPr>
              <w:spacing w:line="280" w:lineRule="exact"/>
              <w:rPr>
                <w:rFonts w:hint="eastAsia" w:ascii="宋体" w:hAnsi="宋体"/>
                <w:szCs w:val="21"/>
              </w:rPr>
            </w:pPr>
            <w:r>
              <w:rPr>
                <w:rFonts w:hint="eastAsia" w:ascii="宋体" w:hAnsi="宋体"/>
                <w:szCs w:val="21"/>
              </w:rPr>
              <w:t>支持医院会计制度规定的坏账提取范围和方法自动提取坏账准备。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hint="eastAsia"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票据管理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hint="eastAsia" w:ascii="宋体" w:hAnsi="宋体"/>
                <w:szCs w:val="21"/>
              </w:rPr>
            </w:pPr>
            <w:r>
              <w:rPr>
                <w:rFonts w:hint="eastAsia" w:ascii="宋体" w:hAnsi="宋体"/>
                <w:szCs w:val="21"/>
              </w:rPr>
              <w:t>自定义各种票据类型和结算类型；提供了支票的登记、领用、核销、作废、支票簿的查询功能；支持按照账户类型自定义支票格式、电汇单格式、进账单格式，并支持套打。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hint="eastAsia"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报表管理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hint="eastAsia" w:ascii="宋体" w:hAnsi="宋体"/>
                <w:szCs w:val="21"/>
              </w:rPr>
            </w:pPr>
            <w:r>
              <w:rPr>
                <w:rFonts w:hint="eastAsia" w:ascii="宋体" w:hAnsi="宋体"/>
                <w:szCs w:val="21"/>
              </w:rPr>
              <w:t>支持财政部门等上级主管单位规定的格式化的报表，如资产负债、收入支出表、现金流量表等，支持自由定制报表的格式、类型，自动生成报表；支持各种类型的会计取数函数，支持各种关系的审核定义和汇总定义；可以自动生成报表、查询、审核、汇总；支持报表跨单位、跨账套取数，支持表间取数和表间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right w:val="single" w:color="auto" w:sz="4" w:space="0"/>
            </w:tcBorders>
            <w:shd w:val="clear" w:color="auto" w:fill="8EAADB" w:themeFill="accent1" w:themeFillTint="99"/>
            <w:vAlign w:val="center"/>
          </w:tcPr>
          <w:p>
            <w:pPr>
              <w:spacing w:line="280" w:lineRule="exact"/>
              <w:jc w:val="center"/>
              <w:rPr>
                <w:rFonts w:hint="eastAsia" w:ascii="宋体" w:hAnsi="宋体"/>
                <w:b/>
              </w:rPr>
            </w:pPr>
          </w:p>
        </w:tc>
        <w:tc>
          <w:tcPr>
            <w:tcW w:w="1240" w:type="dxa"/>
            <w:vMerge w:val="continue"/>
            <w:tcBorders>
              <w:left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财务分析</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hint="eastAsia" w:ascii="宋体" w:hAnsi="宋体"/>
                <w:szCs w:val="21"/>
              </w:rPr>
            </w:pPr>
            <w:r>
              <w:rPr>
                <w:rFonts w:hint="eastAsia" w:ascii="宋体" w:hAnsi="宋体"/>
                <w:szCs w:val="21"/>
              </w:rPr>
              <w:t>提供财务报表分析、财务结构分析、财务预算分析、现金收支分析、指标分析和杜邦分析功能，支持绝对数、环比、定基、对比和结构等多种分析方法，支持图形、表格的展现方式；提供对医院净资产收益率和医疗风险基金的核算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tcBorders>
              <w:left w:val="single" w:color="auto" w:sz="4" w:space="0"/>
              <w:bottom w:val="single" w:color="auto" w:sz="4" w:space="0"/>
              <w:right w:val="single" w:color="auto" w:sz="4" w:space="0"/>
            </w:tcBorders>
            <w:shd w:val="clear" w:color="auto" w:fill="8EAADB" w:themeFill="accent1" w:themeFillTint="99"/>
            <w:vAlign w:val="center"/>
          </w:tcPr>
          <w:p>
            <w:pPr>
              <w:spacing w:line="280" w:lineRule="exact"/>
              <w:jc w:val="center"/>
              <w:rPr>
                <w:rFonts w:hint="eastAsia" w:ascii="宋体" w:hAnsi="宋体"/>
                <w:b/>
              </w:rPr>
            </w:pPr>
          </w:p>
        </w:tc>
        <w:tc>
          <w:tcPr>
            <w:tcW w:w="1240" w:type="dxa"/>
            <w:vMerge w:val="continue"/>
            <w:tcBorders>
              <w:left w:val="single" w:color="auto" w:sz="4" w:space="0"/>
              <w:bottom w:val="single" w:color="auto" w:sz="4" w:space="0"/>
              <w:right w:val="single" w:color="auto" w:sz="4" w:space="0"/>
            </w:tcBorders>
            <w:shd w:val="clear" w:color="auto" w:fill="FFFFFF" w:themeFill="background1"/>
            <w:vAlign w:val="center"/>
          </w:tcPr>
          <w:p>
            <w:pPr>
              <w:spacing w:line="280" w:lineRule="exact"/>
              <w:jc w:val="center"/>
              <w:rPr>
                <w:rFonts w:ascii="Calibri" w:hAnsi="Calibri"/>
                <w:b/>
              </w:rPr>
            </w:pP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szCs w:val="21"/>
              </w:rPr>
            </w:pPr>
            <w:r>
              <w:rPr>
                <w:rFonts w:hint="eastAsia" w:ascii="宋体" w:hAnsi="宋体"/>
                <w:szCs w:val="21"/>
              </w:rPr>
              <w:t>出纳管理</w:t>
            </w:r>
          </w:p>
        </w:tc>
        <w:tc>
          <w:tcPr>
            <w:tcW w:w="60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hint="eastAsia" w:ascii="宋体" w:hAnsi="宋体"/>
                <w:szCs w:val="21"/>
              </w:rPr>
            </w:pPr>
            <w:r>
              <w:rPr>
                <w:rFonts w:hint="eastAsia" w:ascii="宋体" w:hAnsi="宋体"/>
                <w:szCs w:val="21"/>
              </w:rPr>
              <w:t>满足出纳管理的需要，包括出纳的全部工作内容：现金银行出纳流水账登记、现金银行日记账管理、出纳对账、银行对账等日常工作处理；同时支持不同银行对账单导入的标准化静态接口。包括银行初始、日记账、出纳账登记、出纳对账、银行对账等信息。支持银医直联方便后期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restart"/>
            <w:shd w:val="clear" w:color="auto" w:fill="8EAADB" w:themeFill="accent1" w:themeFillTint="99"/>
            <w:vAlign w:val="center"/>
          </w:tcPr>
          <w:p>
            <w:pPr>
              <w:spacing w:line="280" w:lineRule="exact"/>
              <w:jc w:val="center"/>
              <w:rPr>
                <w:rFonts w:ascii="宋体" w:hAnsi="宋体"/>
                <w:b/>
              </w:rPr>
            </w:pPr>
            <w:r>
              <w:rPr>
                <w:rFonts w:ascii="宋体" w:hAnsi="宋体"/>
                <w:b/>
              </w:rPr>
              <w:t>3</w:t>
            </w:r>
          </w:p>
        </w:tc>
        <w:tc>
          <w:tcPr>
            <w:tcW w:w="1240" w:type="dxa"/>
            <w:vMerge w:val="restart"/>
            <w:shd w:val="clear" w:color="auto" w:fill="FFFFFF" w:themeFill="background1"/>
            <w:vAlign w:val="center"/>
          </w:tcPr>
          <w:p>
            <w:pPr>
              <w:spacing w:line="280" w:lineRule="exact"/>
              <w:jc w:val="center"/>
              <w:rPr>
                <w:rFonts w:ascii="Calibri" w:hAnsi="Calibri"/>
                <w:b/>
              </w:rPr>
            </w:pPr>
            <w:r>
              <w:rPr>
                <w:rFonts w:hint="eastAsia" w:ascii="Calibri" w:hAnsi="Calibri"/>
                <w:b/>
              </w:rPr>
              <w:t>全面预算管理系统</w:t>
            </w: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符合制度要求</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符合卫健委 《公立医院全面预算管理制度实施办法》 （国卫财务发〔2020〕30号）、 《政府会计制度——行政事业单位会计科目和报表》（财会[2017]25号）文件对于医院预算管理的制定要求。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预算组织体系</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实现三级预算组织体系维护；预算体系支持集团管控，既可以满足集中式管理型集团的应用要求，又可以实现各下属医疗机构个性化预算体系的要求。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预算指标</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支持预算指标的定义、变更、控制；能对预算指标进行是否论证、是否下发、下发科室的设置、填制上下线的设置、是否必须填制明细等控制。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预算编制</w:t>
            </w:r>
          </w:p>
        </w:tc>
        <w:tc>
          <w:tcPr>
            <w:tcW w:w="6018" w:type="dxa"/>
            <w:shd w:val="clear" w:color="auto" w:fill="auto"/>
            <w:vAlign w:val="center"/>
          </w:tcPr>
          <w:p>
            <w:pPr>
              <w:numPr>
                <w:ilvl w:val="0"/>
                <w:numId w:val="2"/>
              </w:numPr>
              <w:spacing w:line="280" w:lineRule="exact"/>
              <w:rPr>
                <w:rFonts w:ascii="宋体" w:hAnsi="宋体"/>
                <w:szCs w:val="21"/>
              </w:rPr>
            </w:pPr>
            <w:r>
              <w:rPr>
                <w:rFonts w:hint="eastAsia" w:ascii="宋体" w:hAnsi="宋体"/>
                <w:szCs w:val="21"/>
              </w:rPr>
              <w:t>实现预算填制的过程管理，监控下级的预算填制过程；支持按照预算任务对预算编制及调整、执行的过程的控制。</w:t>
            </w:r>
          </w:p>
          <w:p>
            <w:pPr>
              <w:numPr>
                <w:ilvl w:val="0"/>
                <w:numId w:val="2"/>
              </w:numPr>
              <w:spacing w:line="280" w:lineRule="exact"/>
              <w:rPr>
                <w:rFonts w:ascii="宋体" w:hAnsi="宋体"/>
                <w:szCs w:val="21"/>
              </w:rPr>
            </w:pPr>
            <w:r>
              <w:rPr>
                <w:rFonts w:hint="eastAsia" w:ascii="宋体" w:hAnsi="宋体"/>
                <w:szCs w:val="21"/>
              </w:rPr>
              <w:t>可通过预算任务的设置，实现医院“×上×下”的预算编制过程的全程管理，包括编制时间设置、各预算机构在线编制、上级预算数自动汇总、系统催办等。</w:t>
            </w:r>
          </w:p>
          <w:p>
            <w:pPr>
              <w:numPr>
                <w:ilvl w:val="0"/>
                <w:numId w:val="2"/>
              </w:numPr>
              <w:spacing w:line="280" w:lineRule="exact"/>
              <w:rPr>
                <w:rFonts w:ascii="宋体" w:hAnsi="宋体"/>
                <w:szCs w:val="21"/>
              </w:rPr>
            </w:pPr>
            <w:r>
              <w:rPr>
                <w:rFonts w:hint="eastAsia" w:ascii="宋体" w:hAnsi="宋体"/>
                <w:szCs w:val="21"/>
              </w:rPr>
              <w:t>实现系统预算的编制，包括：科室填报、归口填报、院方填报子模块；包含预算科室的预算指标填报功能。预算任务启动编制后，会下发多个指标到相应的预算科室，预算科室根据下发的指标进行对应的预算填报。支持预算任务下发后，新增预算项目指标填报。预算任务流程走到归口时，会下发多个指标到相应的预算归口，预算归口根据下发的指标进行对应的预算填报及对预算科室的指标进行审核及汇总。院方查看并给出预算归口和预算科室填报指标的预算总额。支持预算编制环节中，各预算科室及归口管理科室，对下发的预算指标编制情况提供总览查询功能，并对未编制预算的科室进行预警或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预算调整</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实现系统预算中期调整功能，包括：(1)科室中期调整，主要进行预算科室的预算指标中期调整功能；(2)归口中期调整，归口的预算指标调整功能；院方中期调整，指院方查看并给出预算归口和预算科室指标的调整预算总额。实现预算日常调整功能，包括：预算日常调整申请、预算日常调整审核功能。实现预算按照医院的调整流程进行调整申请、调整审批，包括预算科室调整、归口科室调整、医院层面的调整；实现预算调整的日常申请、审核。实现预算调整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4"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预算审批</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编制过程支持×上×下的编制审批，对提交的预算，职能部门可进行归口审核及驳回的功能。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4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预算号管理</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按照医院编号规则，对预算进行编号；支持预算号的启用、停用；可支持自动启用及停用、也支持手工启用、停用。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4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预算控制</w:t>
            </w:r>
          </w:p>
        </w:tc>
        <w:tc>
          <w:tcPr>
            <w:tcW w:w="6018" w:type="dxa"/>
            <w:shd w:val="clear" w:color="auto" w:fill="auto"/>
            <w:vAlign w:val="center"/>
          </w:tcPr>
          <w:p>
            <w:pPr>
              <w:numPr>
                <w:ilvl w:val="0"/>
                <w:numId w:val="3"/>
              </w:numPr>
              <w:spacing w:line="280" w:lineRule="exact"/>
              <w:rPr>
                <w:rFonts w:ascii="宋体" w:hAnsi="宋体"/>
                <w:szCs w:val="21"/>
              </w:rPr>
            </w:pPr>
            <w:r>
              <w:rPr>
                <w:rFonts w:hint="eastAsia" w:ascii="宋体" w:hAnsi="宋体"/>
                <w:szCs w:val="21"/>
              </w:rPr>
              <w:t>提供执行监控功能，能够从业务数据获取执行数，对业务系统进行预算控制和预警；实现预算按照不同维度的控制，包括但不限于按照预算类型、预算指标、预算号、预算科室等；支持预算指标的使用与合同、报销及会计核算系统的关联控制；实现预算对医院其他业务系统的控制及取数，并对超预算事件进行审批。</w:t>
            </w:r>
          </w:p>
          <w:p>
            <w:pPr>
              <w:spacing w:line="280" w:lineRule="exact"/>
              <w:rPr>
                <w:rFonts w:ascii="宋体" w:hAnsi="宋体"/>
                <w:szCs w:val="21"/>
              </w:rPr>
            </w:pPr>
            <w:r>
              <w:rPr>
                <w:rFonts w:hint="eastAsia" w:ascii="宋体" w:hAnsi="宋体"/>
                <w:szCs w:val="21"/>
              </w:rPr>
              <w:t>2、提供预算执行数据和预算控制数据到业务执行明细数据和业务单据的追踪；围绕成本、预算、绩效进行的业务整合，将成本数据作为预算制定和执行的依据，利用预算完成情况可用于绩效考核指标。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4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预算分析</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提供将预算数据与实际执行数进行对比的功能。能从多个维度：包括预算科室、预算指标、预算类型、预算执行进度等进行预算反馈及分析。</w:t>
            </w:r>
          </w:p>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40" w:hRule="atLeast"/>
          <w:jc w:val="center"/>
        </w:trPr>
        <w:tc>
          <w:tcPr>
            <w:tcW w:w="712" w:type="dxa"/>
            <w:vMerge w:val="restart"/>
            <w:shd w:val="clear" w:color="auto" w:fill="8EAADB" w:themeFill="accent1" w:themeFillTint="99"/>
            <w:vAlign w:val="center"/>
          </w:tcPr>
          <w:p>
            <w:pPr>
              <w:widowControl/>
              <w:jc w:val="left"/>
              <w:rPr>
                <w:rFonts w:ascii="宋体" w:hAnsi="宋体"/>
                <w:b/>
              </w:rPr>
            </w:pPr>
          </w:p>
        </w:tc>
        <w:tc>
          <w:tcPr>
            <w:tcW w:w="1240" w:type="dxa"/>
            <w:vMerge w:val="restart"/>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支持预算考核评价</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包括关键预算指标的定义、执行情况及执行质量分值设定、打分科室维护等。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4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支持项目库的应用</w:t>
            </w:r>
          </w:p>
        </w:tc>
        <w:tc>
          <w:tcPr>
            <w:tcW w:w="6018" w:type="dxa"/>
            <w:shd w:val="clear" w:color="auto" w:fill="auto"/>
            <w:vAlign w:val="center"/>
          </w:tcPr>
          <w:p>
            <w:pPr>
              <w:numPr>
                <w:ilvl w:val="0"/>
                <w:numId w:val="4"/>
              </w:numPr>
              <w:spacing w:line="280" w:lineRule="exact"/>
              <w:rPr>
                <w:rFonts w:ascii="宋体" w:hAnsi="宋体"/>
                <w:szCs w:val="21"/>
              </w:rPr>
            </w:pPr>
            <w:r>
              <w:rPr>
                <w:rFonts w:hint="eastAsia" w:ascii="宋体" w:hAnsi="宋体"/>
                <w:szCs w:val="21"/>
              </w:rPr>
              <w:t>支持预算项目的论证将项目论证从科室填报到院内各个环节的论证，以及院外专家论证结果全部在系统内管理；实现整个论证过程的科室查询和管理部门监控。</w:t>
            </w:r>
          </w:p>
          <w:p>
            <w:pPr>
              <w:numPr>
                <w:ilvl w:val="0"/>
                <w:numId w:val="4"/>
              </w:numPr>
              <w:spacing w:line="280" w:lineRule="exact"/>
              <w:rPr>
                <w:rFonts w:ascii="宋体" w:hAnsi="宋体"/>
                <w:szCs w:val="21"/>
              </w:rPr>
            </w:pPr>
            <w:r>
              <w:rPr>
                <w:rFonts w:hint="eastAsia" w:ascii="宋体" w:hAnsi="宋体"/>
                <w:szCs w:val="21"/>
              </w:rPr>
              <w:t>实现项目（科研、基建）预算管理，提供项目立项基本信息登记，完成项目总预算编制，为项目经费计划以及项目明细支出提供控制依据。</w:t>
            </w:r>
          </w:p>
          <w:p>
            <w:pPr>
              <w:numPr>
                <w:ilvl w:val="0"/>
                <w:numId w:val="4"/>
              </w:numPr>
              <w:spacing w:line="280" w:lineRule="exact"/>
              <w:rPr>
                <w:rFonts w:ascii="宋体" w:hAnsi="宋体"/>
                <w:szCs w:val="21"/>
              </w:rPr>
            </w:pPr>
            <w:r>
              <w:rPr>
                <w:rFonts w:hint="eastAsia" w:ascii="宋体" w:hAnsi="宋体"/>
                <w:szCs w:val="21"/>
              </w:rPr>
              <w:t>支持医院预算的中长期规划在项目库落地，进行多年的持续滚动管理。</w:t>
            </w:r>
          </w:p>
          <w:p>
            <w:pPr>
              <w:numPr>
                <w:ilvl w:val="0"/>
                <w:numId w:val="4"/>
              </w:numPr>
              <w:spacing w:line="280" w:lineRule="exact"/>
              <w:rPr>
                <w:rFonts w:ascii="宋体" w:hAnsi="宋体"/>
                <w:szCs w:val="21"/>
              </w:rPr>
            </w:pPr>
            <w:r>
              <w:rPr>
                <w:rFonts w:hint="eastAsia" w:ascii="宋体" w:hAnsi="宋体"/>
                <w:szCs w:val="21"/>
              </w:rPr>
              <w:t>所有通过论证的项目入库后，作为后续预算编制与执行的数据源头，与后续环节进行流程与数据关联，可对全院项目的执行情况进行分析和监督，实现医院资源的有效配置。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400" w:hRule="atLeast"/>
          <w:jc w:val="center"/>
        </w:trPr>
        <w:tc>
          <w:tcPr>
            <w:tcW w:w="712" w:type="dxa"/>
            <w:vMerge w:val="restart"/>
            <w:shd w:val="clear" w:color="auto" w:fill="8EAADB" w:themeFill="accent1" w:themeFillTint="99"/>
            <w:vAlign w:val="center"/>
          </w:tcPr>
          <w:p>
            <w:pPr>
              <w:spacing w:line="280" w:lineRule="exact"/>
              <w:jc w:val="center"/>
              <w:rPr>
                <w:rFonts w:ascii="宋体" w:hAnsi="宋体"/>
                <w:b/>
              </w:rPr>
            </w:pPr>
            <w:r>
              <w:rPr>
                <w:rFonts w:ascii="宋体" w:hAnsi="宋体"/>
                <w:b/>
              </w:rPr>
              <w:t>4</w:t>
            </w:r>
          </w:p>
        </w:tc>
        <w:tc>
          <w:tcPr>
            <w:tcW w:w="1240" w:type="dxa"/>
            <w:vMerge w:val="restart"/>
            <w:shd w:val="clear" w:color="auto" w:fill="FFFFFF" w:themeFill="background1"/>
            <w:vAlign w:val="center"/>
          </w:tcPr>
          <w:p>
            <w:pPr>
              <w:spacing w:line="280" w:lineRule="exact"/>
              <w:jc w:val="center"/>
              <w:rPr>
                <w:rFonts w:ascii="Calibri" w:hAnsi="Calibri"/>
                <w:b/>
              </w:rPr>
            </w:pPr>
            <w:r>
              <w:rPr>
                <w:rFonts w:hint="eastAsia" w:ascii="Calibri" w:hAnsi="Calibri"/>
                <w:b/>
              </w:rPr>
              <w:t>合同管理系统</w:t>
            </w:r>
          </w:p>
        </w:tc>
        <w:tc>
          <w:tcPr>
            <w:tcW w:w="7197" w:type="dxa"/>
            <w:gridSpan w:val="2"/>
            <w:shd w:val="clear" w:color="auto" w:fill="auto"/>
            <w:vAlign w:val="center"/>
          </w:tcPr>
          <w:p>
            <w:pPr>
              <w:spacing w:line="280" w:lineRule="exact"/>
              <w:rPr>
                <w:rFonts w:ascii="宋体" w:hAnsi="宋体"/>
                <w:szCs w:val="21"/>
              </w:rPr>
            </w:pPr>
            <w:r>
              <w:rPr>
                <w:rFonts w:hint="eastAsia" w:ascii="宋体" w:hAnsi="宋体"/>
                <w:szCs w:val="21"/>
              </w:rPr>
              <w:t>可完成合同信息的录入、保存、审核、生效、变更、续签、冻结、废止、终止及查询、预收（付）款等功能。包括但不限于合同预算、基本信息、合同条款、合同费用、合同附件、变更历史和执行过程超合同支付报警提醒。支持各相关部门在系统中对采购合同进行全程跟踪、监控管理。分块嵌入其他管理模块中可同样认定具备该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40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合同分类管理</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首先按经济合同与非经济合同分类；其次经济合同下分为收款合同、付款合同；然后在收款、付款合同下分为政府采购和非政府采购合同；最后在政府采购和非政府采购合同下选择货物买卖合同、供用电水气热力合同、赠与合同、借款合同、租赁合同、建筑工程合同、技术及服务合同、委托合同等，并支持合同类别新增、修改、停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40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预算控制</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支持按预算金额或合同金额对合同付款额度进行控制。</w:t>
            </w:r>
          </w:p>
          <w:p>
            <w:pPr>
              <w:spacing w:line="280" w:lineRule="exact"/>
              <w:rPr>
                <w:rFonts w:ascii="宋体" w:hAnsi="宋体"/>
                <w:szCs w:val="21"/>
              </w:rPr>
            </w:pPr>
            <w:r>
              <w:rPr>
                <w:rFonts w:hint="eastAsia" w:ascii="宋体" w:hAnsi="宋体"/>
                <w:szCs w:val="21"/>
              </w:rPr>
              <w:t>付款合同可以直接付款，实现预付业务，收款可直接预收款或收款。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合同文本</w:t>
            </w:r>
          </w:p>
        </w:tc>
        <w:tc>
          <w:tcPr>
            <w:tcW w:w="6018" w:type="dxa"/>
            <w:shd w:val="clear" w:color="auto" w:fill="auto"/>
            <w:vAlign w:val="center"/>
          </w:tcPr>
          <w:p>
            <w:pPr>
              <w:numPr>
                <w:ilvl w:val="0"/>
                <w:numId w:val="5"/>
              </w:numPr>
              <w:spacing w:line="280" w:lineRule="exact"/>
              <w:rPr>
                <w:rFonts w:ascii="宋体" w:hAnsi="宋体"/>
                <w:szCs w:val="21"/>
              </w:rPr>
            </w:pPr>
            <w:r>
              <w:rPr>
                <w:rFonts w:hint="eastAsia" w:ascii="宋体" w:hAnsi="宋体"/>
                <w:szCs w:val="21"/>
              </w:rPr>
              <w:t>支持录入合同关键信息后，套用相关合同模板生成合同，并支持合同的在线审阅、修改，合同终审完毕后可生成带水印的合同版本。</w:t>
            </w:r>
          </w:p>
          <w:p>
            <w:pPr>
              <w:numPr>
                <w:ilvl w:val="0"/>
                <w:numId w:val="5"/>
              </w:numPr>
              <w:spacing w:line="280" w:lineRule="exact"/>
              <w:rPr>
                <w:rFonts w:ascii="宋体" w:hAnsi="宋体"/>
                <w:szCs w:val="21"/>
              </w:rPr>
            </w:pPr>
            <w:r>
              <w:rPr>
                <w:rFonts w:hint="eastAsia" w:ascii="宋体" w:hAnsi="宋体"/>
                <w:szCs w:val="21"/>
              </w:rPr>
              <w:t>记录合同的变更情况，进行变更的相关审批，可追溯每次的变更事由，并进行多版本的记录。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合同审批</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支持合同的电子化线上审批，也支持合同线上线下结合的方式进行审批。支持CA在合同系统中的应用。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73"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追溯查询</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支持预算控制合同、合同控制付款，实现付款到合同的反向追溯查询。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73"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统计分析</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提供按合同类型、承办科室、年度、签订日期等多维度进行合同执行情况查询、统计、分析。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73"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cs="宋体"/>
                <w:kern w:val="0"/>
                <w:szCs w:val="21"/>
                <w:lang w:bidi="ar"/>
              </w:rPr>
            </w:pPr>
            <w:r>
              <w:rPr>
                <w:rFonts w:hint="eastAsia" w:ascii="宋体" w:hAnsi="宋体" w:cs="宋体"/>
                <w:kern w:val="0"/>
                <w:szCs w:val="21"/>
                <w:lang w:bidi="ar"/>
              </w:rPr>
              <w:t>合同比对</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支持合同审批后的电子版本与最终甲乙双方签章后扫描的电子版本的OCR对比功能。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restart"/>
            <w:shd w:val="clear" w:color="auto" w:fill="8EAADB" w:themeFill="accent1" w:themeFillTint="99"/>
            <w:vAlign w:val="center"/>
          </w:tcPr>
          <w:p>
            <w:pPr>
              <w:spacing w:line="280" w:lineRule="exact"/>
              <w:jc w:val="center"/>
              <w:rPr>
                <w:rFonts w:ascii="宋体" w:hAnsi="宋体"/>
                <w:b/>
              </w:rPr>
            </w:pPr>
            <w:r>
              <w:rPr>
                <w:rFonts w:ascii="宋体" w:hAnsi="宋体"/>
                <w:b/>
              </w:rPr>
              <w:t>5</w:t>
            </w:r>
          </w:p>
        </w:tc>
        <w:tc>
          <w:tcPr>
            <w:tcW w:w="1240" w:type="dxa"/>
            <w:vMerge w:val="restart"/>
            <w:shd w:val="clear" w:color="auto" w:fill="FFFFFF" w:themeFill="background1"/>
            <w:vAlign w:val="center"/>
          </w:tcPr>
          <w:p>
            <w:pPr>
              <w:spacing w:line="280" w:lineRule="exact"/>
              <w:jc w:val="center"/>
              <w:rPr>
                <w:rFonts w:ascii="Calibri" w:hAnsi="Calibri"/>
                <w:b/>
              </w:rPr>
            </w:pPr>
            <w:r>
              <w:rPr>
                <w:rFonts w:hint="eastAsia" w:ascii="Calibri" w:hAnsi="Calibri"/>
                <w:b/>
              </w:rPr>
              <w:t>智能报销管理系统</w:t>
            </w:r>
          </w:p>
          <w:p>
            <w:pPr>
              <w:spacing w:line="280" w:lineRule="exact"/>
              <w:jc w:val="center"/>
              <w:rPr>
                <w:b/>
              </w:rPr>
            </w:pPr>
          </w:p>
        </w:tc>
        <w:tc>
          <w:tcPr>
            <w:tcW w:w="7197" w:type="dxa"/>
            <w:gridSpan w:val="2"/>
            <w:shd w:val="clear" w:color="auto" w:fill="auto"/>
            <w:vAlign w:val="center"/>
          </w:tcPr>
          <w:p>
            <w:pPr>
              <w:spacing w:line="280" w:lineRule="exact"/>
              <w:rPr>
                <w:rFonts w:ascii="宋体" w:hAnsi="宋体"/>
                <w:szCs w:val="21"/>
              </w:rPr>
            </w:pPr>
            <w:r>
              <w:rPr>
                <w:rFonts w:hint="eastAsia" w:ascii="宋体" w:hAnsi="宋体"/>
                <w:szCs w:val="21"/>
              </w:rPr>
              <w:t>报销管理系统可实现前端医生、业务人员、主管领导等在线提交单据、在线审批，财务人员在线审核，实现业务财务无缝对接，从而实现全员网上报账。实现报销业务从报销申请--预算占用--报销事项记录--报销单形成--报销审批--在线支付--财务凭证生成的全过程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报销应用</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通过移动端或PC终端网上报销，实现借款和日常报销管理，医院领导和职能科室通过智能移动端或PC终端进行审批。员工可以查看报销进度，查看个人报销统计数据。财务部门在报销管理系统中对原始单据审核无误后，财务系统自动生成记账凭证，进一步提高了医院精细化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报销制度</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深度融合医院财务审批制度、内控制度等财政性资金使用管理制度要求，将所有资金使用业务的内部控制节点内置到系统中。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单据类型</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可根据医院需求，自由扩展不同类型的报销业务，并支持根据不同类型的报销展示不同页面，配置不同审批流程，不同的预算控制策略，不同的报销政策标准。如：差旅费、培训费、职工医疗费用、补助等等。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报销申请</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实现报销事项先申请再报销，与预算系统对接实现报销事项的事前控制。结合预算模块功能，实现预算执行进度的实时分析功能，合理控制费用支出，杜绝浪费。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预算控制</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一个报销单可以关联多个预算号或预算指标，实现预算事项的分项控制。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个人业务办理</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 xml:space="preserve"> 1、个人业务办理包括事项申请、借款、报销等各类单据申请业务办理。提供对报销、借款单据的录入、修改、删除、提交、批量提交等功能。</w:t>
            </w:r>
          </w:p>
          <w:p>
            <w:pPr>
              <w:spacing w:line="280" w:lineRule="exact"/>
              <w:rPr>
                <w:rFonts w:ascii="宋体" w:hAnsi="宋体"/>
                <w:szCs w:val="21"/>
              </w:rPr>
            </w:pPr>
            <w:r>
              <w:rPr>
                <w:rFonts w:hint="eastAsia" w:ascii="宋体" w:hAnsi="宋体"/>
                <w:szCs w:val="21"/>
              </w:rPr>
              <w:t>2、支持事前申请、员工借款、冲销借款及报销，能够根据申报金额进行预算管控以及借款逾期预警提醒功能。同时支持对每笔借款业务一一对应核销处理。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发票库与影像管理</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支持对发票库的管理，能够通过发票发起报销单。</w:t>
            </w:r>
          </w:p>
          <w:p>
            <w:pPr>
              <w:spacing w:line="280" w:lineRule="exact"/>
              <w:rPr>
                <w:rFonts w:ascii="宋体" w:hAnsi="宋体"/>
                <w:szCs w:val="21"/>
              </w:rPr>
            </w:pPr>
            <w:r>
              <w:rPr>
                <w:rFonts w:hint="eastAsia" w:ascii="宋体" w:hAnsi="宋体"/>
                <w:szCs w:val="21"/>
              </w:rPr>
              <w:t>利用OCR自动识别技术，自动识别上传的纸质及电子票据，并进行验真、验重；并实现票据去向追溯、票据智能判断消费类型。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业务审批</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1、提供单据流程化审核功能，针对申请、借款、报销等业务支持工作流配置，能够按业务流程完成业务审批。并可根据不同岗位设置审批、审核权限。</w:t>
            </w:r>
          </w:p>
          <w:p>
            <w:pPr>
              <w:spacing w:line="280" w:lineRule="exact"/>
              <w:rPr>
                <w:rFonts w:ascii="宋体" w:hAnsi="宋体"/>
                <w:szCs w:val="21"/>
              </w:rPr>
            </w:pPr>
            <w:r>
              <w:rPr>
                <w:rFonts w:hint="eastAsia" w:ascii="宋体" w:hAnsi="宋体"/>
                <w:szCs w:val="21"/>
              </w:rPr>
              <w:t>2、支持报销业务全流程的移动申请、移动报销、移动审批。</w:t>
            </w:r>
          </w:p>
          <w:p>
            <w:pPr>
              <w:spacing w:line="280" w:lineRule="exact"/>
              <w:rPr>
                <w:rFonts w:ascii="宋体" w:hAnsi="宋体"/>
                <w:szCs w:val="21"/>
              </w:rPr>
            </w:pPr>
            <w:r>
              <w:rPr>
                <w:rFonts w:hint="eastAsia" w:ascii="宋体" w:hAnsi="宋体"/>
                <w:szCs w:val="21"/>
              </w:rPr>
              <w:t>3、业务审批支持消息提醒，让审批人员及时完成单据审批。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报销APP</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支持移动事项申请、借还款、费用报销业务的申请；</w:t>
            </w:r>
          </w:p>
          <w:p>
            <w:pPr>
              <w:spacing w:line="280" w:lineRule="exact"/>
              <w:rPr>
                <w:rFonts w:ascii="宋体" w:hAnsi="宋体"/>
                <w:szCs w:val="21"/>
              </w:rPr>
            </w:pPr>
            <w:r>
              <w:rPr>
                <w:rFonts w:hint="eastAsia" w:ascii="宋体" w:hAnsi="宋体"/>
                <w:szCs w:val="21"/>
              </w:rPr>
              <w:t>支持领导移动端事项审批、借还款审批及费用报销审批。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财务处理</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报销业务与财务账务一体化处理，自动生成相关的财务凭证，形成财务的闭环处理。报销直连支付，业务单据审批完成后，可直接驱动网银付款，实现单据、支付关联，便于费用、资金追溯单据。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continue"/>
            <w:shd w:val="clear" w:color="auto" w:fill="8EAADB" w:themeFill="accent1" w:themeFillTint="99"/>
            <w:vAlign w:val="center"/>
          </w:tcPr>
          <w:p>
            <w:pPr>
              <w:spacing w:line="280" w:lineRule="exact"/>
              <w:jc w:val="center"/>
              <w:rPr>
                <w:rFonts w:ascii="宋体" w:hAnsi="宋体"/>
                <w:b/>
              </w:rPr>
            </w:pPr>
          </w:p>
        </w:tc>
        <w:tc>
          <w:tcPr>
            <w:tcW w:w="1240" w:type="dxa"/>
            <w:vMerge w:val="continue"/>
            <w:shd w:val="clear" w:color="auto" w:fill="FFFFFF" w:themeFill="background1"/>
            <w:vAlign w:val="center"/>
          </w:tcPr>
          <w:p>
            <w:pPr>
              <w:spacing w:line="280" w:lineRule="exact"/>
              <w:jc w:val="center"/>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可拓展性与互联互通</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平台化系统应用，拥有良好的扩展空间,能够灵活拓展医院各种业务功能模块，满足医院报销业务未来发展的需求，且可以与全面预算管理系统、财务系统、OA等系统互联互通。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151" w:hRule="atLeast"/>
          <w:jc w:val="center"/>
        </w:trPr>
        <w:tc>
          <w:tcPr>
            <w:tcW w:w="712" w:type="dxa"/>
            <w:vMerge w:val="restart"/>
            <w:shd w:val="clear" w:color="auto" w:fill="8EAADB" w:themeFill="accent1" w:themeFillTint="99"/>
            <w:vAlign w:val="center"/>
          </w:tcPr>
          <w:p>
            <w:pPr>
              <w:spacing w:line="280" w:lineRule="exact"/>
              <w:jc w:val="center"/>
              <w:rPr>
                <w:rFonts w:ascii="宋体" w:hAnsi="宋体"/>
                <w:b/>
              </w:rPr>
            </w:pPr>
            <w:r>
              <w:rPr>
                <w:rFonts w:ascii="宋体" w:hAnsi="宋体"/>
                <w:b/>
              </w:rPr>
              <w:t>6</w:t>
            </w:r>
          </w:p>
        </w:tc>
        <w:tc>
          <w:tcPr>
            <w:tcW w:w="1240" w:type="dxa"/>
            <w:vMerge w:val="restart"/>
            <w:shd w:val="clear" w:color="auto" w:fill="FFFFFF" w:themeFill="background1"/>
            <w:vAlign w:val="center"/>
          </w:tcPr>
          <w:p>
            <w:pPr>
              <w:spacing w:line="280" w:lineRule="exact"/>
              <w:jc w:val="center"/>
              <w:rPr>
                <w:rFonts w:ascii="Calibri" w:hAnsi="Calibri"/>
                <w:b/>
              </w:rPr>
            </w:pPr>
            <w:r>
              <w:rPr>
                <w:rFonts w:hint="eastAsia" w:ascii="Calibri" w:hAnsi="Calibri"/>
                <w:b/>
              </w:rPr>
              <w:t>专项管理系统</w:t>
            </w: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项目申报</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支持项目立项任务书的管理，支持项目任务书附件及其他附件的上传，支持附件在线预览。支持项目负责人对项目组成员的管理，如项目经办人、项目参与人。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88"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项目登记</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支持多类型的项目在统一平台中管理，包括但不限于科研项目、人才项目、临床项目、教学项目等类型。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5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预算编制</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支持自动根据不同项目出具不同项目预算表、结项表的功能。</w:t>
            </w:r>
          </w:p>
          <w:p>
            <w:pPr>
              <w:spacing w:line="280" w:lineRule="exact"/>
              <w:rPr>
                <w:rFonts w:ascii="宋体" w:hAnsi="宋体"/>
                <w:szCs w:val="21"/>
              </w:rPr>
            </w:pPr>
            <w:r>
              <w:rPr>
                <w:rFonts w:hint="eastAsia" w:ascii="宋体" w:hAnsi="宋体"/>
                <w:szCs w:val="21"/>
              </w:rPr>
              <w:t>支持专项预算按照不同的项目来源或项目类别进行预算调整及预算调整控制。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5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项目收款</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支持项目收款资金池管理，允许项目管理部门或项目负责人对项目收款的认领，支持同一笔来款认领到多个项目。</w:t>
            </w:r>
          </w:p>
          <w:p>
            <w:pPr>
              <w:spacing w:line="280" w:lineRule="exact"/>
              <w:rPr>
                <w:rFonts w:ascii="宋体" w:hAnsi="宋体"/>
                <w:szCs w:val="21"/>
              </w:rPr>
            </w:pPr>
            <w:r>
              <w:rPr>
                <w:rFonts w:hint="eastAsia" w:ascii="宋体" w:hAnsi="宋体"/>
                <w:szCs w:val="21"/>
              </w:rPr>
              <w:t>支持对认领的资金进行全额及部分退回。</w:t>
            </w:r>
          </w:p>
          <w:p>
            <w:pPr>
              <w:spacing w:line="280" w:lineRule="exact"/>
              <w:rPr>
                <w:rFonts w:ascii="宋体" w:hAnsi="宋体"/>
                <w:szCs w:val="21"/>
              </w:rPr>
            </w:pPr>
            <w:r>
              <w:rPr>
                <w:rFonts w:hint="eastAsia" w:ascii="宋体" w:hAnsi="宋体"/>
                <w:szCs w:val="21"/>
              </w:rPr>
              <w:t>支持项目经费的批量匹配。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5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项目支出</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支持按照项目、按照项目的支出科目等维度对项目支出进行控制。</w:t>
            </w:r>
          </w:p>
          <w:p>
            <w:pPr>
              <w:spacing w:line="280" w:lineRule="exact"/>
              <w:rPr>
                <w:rFonts w:ascii="宋体" w:hAnsi="宋体"/>
                <w:szCs w:val="21"/>
              </w:rPr>
            </w:pPr>
            <w:r>
              <w:rPr>
                <w:rFonts w:hint="eastAsia" w:ascii="宋体" w:hAnsi="宋体"/>
                <w:szCs w:val="21"/>
              </w:rPr>
              <w:t>支持项目各类的支出，包括合同的签订、差旅支出、劳务支出等各类支出，并与相关的报销系统、合同管理系统、财务系统、往来核算系统、工资奖金发放系统等直接集成应用，实现专项系统与各个相关业务系统的数据联通、业务协同、流程约束、业务控制。</w:t>
            </w:r>
          </w:p>
          <w:p>
            <w:pPr>
              <w:spacing w:line="280" w:lineRule="exact"/>
              <w:rPr>
                <w:rFonts w:ascii="宋体" w:hAnsi="宋体"/>
                <w:szCs w:val="21"/>
              </w:rPr>
            </w:pPr>
            <w:r>
              <w:rPr>
                <w:rFonts w:hint="eastAsia" w:ascii="宋体" w:hAnsi="宋体"/>
                <w:szCs w:val="21"/>
              </w:rPr>
              <w:t>支持项目管理费的提取、项目结题管理。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5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项目成果</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支持项目成果的管理，包括但不限于论文、专利、研究生培养、专著，能根据医院的要求，对项目成果进行统计分析等。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5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科研奖励</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支持科研奖励税金的自动计算及发放处理。支持科研相关酬金、劳务费等发放与医院对个人的其他发放（如：工资、绩效）等各类发放的统一计税。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20"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移动应用</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支持移动端的应用，包含项目、预算、执行情况、成果等的查询。</w:t>
            </w:r>
          </w:p>
          <w:p>
            <w:pPr>
              <w:spacing w:line="280" w:lineRule="exact"/>
              <w:rPr>
                <w:rFonts w:ascii="宋体" w:hAnsi="宋体"/>
                <w:szCs w:val="21"/>
              </w:rPr>
            </w:pPr>
            <w:r>
              <w:rPr>
                <w:rFonts w:hint="eastAsia" w:ascii="宋体" w:hAnsi="宋体"/>
                <w:szCs w:val="21"/>
              </w:rPr>
              <w:t>支持专项各类业务的附件上传、附件下载、附件在线预览、业务的线上审批、移动审批等功能。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widowControl/>
              <w:jc w:val="left"/>
              <w:rPr>
                <w:b/>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专项报表</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支持各类查询统计分析。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restart"/>
            <w:shd w:val="clear" w:color="auto" w:fill="8EAADB" w:themeFill="accent1" w:themeFillTint="99"/>
            <w:vAlign w:val="center"/>
          </w:tcPr>
          <w:p>
            <w:pPr>
              <w:widowControl/>
              <w:jc w:val="left"/>
              <w:rPr>
                <w:rFonts w:ascii="宋体" w:hAnsi="宋体"/>
                <w:b/>
              </w:rPr>
            </w:pPr>
            <w:r>
              <w:rPr>
                <w:rFonts w:ascii="宋体" w:hAnsi="宋体"/>
                <w:b/>
              </w:rPr>
              <w:t>7</w:t>
            </w:r>
          </w:p>
        </w:tc>
        <w:tc>
          <w:tcPr>
            <w:tcW w:w="1240" w:type="dxa"/>
            <w:vMerge w:val="restart"/>
            <w:shd w:val="clear" w:color="auto" w:fill="FFFFFF" w:themeFill="background1"/>
            <w:vAlign w:val="center"/>
          </w:tcPr>
          <w:p>
            <w:pPr>
              <w:spacing w:line="280" w:lineRule="exact"/>
              <w:jc w:val="center"/>
              <w:rPr>
                <w:rFonts w:ascii="宋体" w:hAnsi="宋体"/>
                <w:szCs w:val="21"/>
              </w:rPr>
            </w:pPr>
            <w:r>
              <w:rPr>
                <w:rFonts w:hint="eastAsia" w:ascii="Calibri" w:hAnsi="Calibri"/>
                <w:b/>
              </w:rPr>
              <w:t>科室成本核算系统</w:t>
            </w:r>
          </w:p>
        </w:tc>
        <w:tc>
          <w:tcPr>
            <w:tcW w:w="7197" w:type="dxa"/>
            <w:gridSpan w:val="2"/>
            <w:shd w:val="clear" w:color="auto" w:fill="auto"/>
            <w:vAlign w:val="center"/>
          </w:tcPr>
          <w:p>
            <w:pPr>
              <w:spacing w:line="280" w:lineRule="exact"/>
              <w:rPr>
                <w:rFonts w:ascii="宋体" w:hAnsi="宋体"/>
                <w:szCs w:val="21"/>
              </w:rPr>
            </w:pPr>
            <w:r>
              <w:rPr>
                <w:rFonts w:hint="eastAsia" w:ascii="宋体" w:hAnsi="宋体"/>
                <w:szCs w:val="21"/>
              </w:rPr>
              <w:t>科室成本核算必须符合财政部《政府会计制度——行政事业单位会计科目和报表》（财会[2017]25号）、《医院财务制度》（财社[2010]306号）文件对于医院成本管理的制度要求。实现财务会计、预算会计和成本会计三轨制并轨，确保财务数据、预算数据和成本核算数据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科室收入数据</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对医疗收入数据和其它收入的数据进行维护，包括增加、修改、删除、归集、查询等各种功能，并提供收入数据的统计汇总。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8EAADB" w:themeFill="accent1" w:themeFillTint="99"/>
            <w:vAlign w:val="center"/>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科室成本数据</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对财务成本、直接成本、科室直接成本等数据进行维护和计算，包括增加、修改、删除、查询等。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 xml:space="preserve">工作量数据 </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对门诊工作量、住院工作量、医技工作量、内部服务工作量进行维护，包括增加、修改、删除、查询等。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医院基本情况</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对医院的资产清单、基本情况等数据进行维护，包括增加、修改、删除、计算、查询等。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分摊管理</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要求按照《医院财务制度》规定的“三级四类分摊法”对成本数据进行分摊，完成全成本核算工作，并能提供对医疗业务成本、医疗成本、医疗全成本、医院全成本的处理，支持对分摊的数据进行校验，确保分摊结果的准确性。根据用户的需求灵活设置各种分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ascii="宋体" w:hAnsi="宋体" w:cs="宋体"/>
                <w:szCs w:val="21"/>
              </w:rPr>
              <w:t>成本报表</w:t>
            </w:r>
          </w:p>
        </w:tc>
        <w:tc>
          <w:tcPr>
            <w:tcW w:w="6018" w:type="dxa"/>
            <w:shd w:val="clear" w:color="auto" w:fill="auto"/>
            <w:vAlign w:val="center"/>
          </w:tcPr>
          <w:p>
            <w:pPr>
              <w:spacing w:line="280" w:lineRule="exact"/>
              <w:rPr>
                <w:rFonts w:ascii="宋体" w:hAnsi="宋体"/>
                <w:szCs w:val="21"/>
              </w:rPr>
            </w:pPr>
            <w:r>
              <w:rPr>
                <w:rFonts w:ascii="宋体" w:hAnsi="宋体"/>
                <w:szCs w:val="21"/>
              </w:rPr>
              <w:t>要求能够提供医院财务制度、成本管理办法规定的各类成本报表。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ascii="宋体" w:hAnsi="宋体" w:cs="宋体"/>
                <w:szCs w:val="21"/>
              </w:rPr>
              <w:t>成本分析</w:t>
            </w:r>
          </w:p>
        </w:tc>
        <w:tc>
          <w:tcPr>
            <w:tcW w:w="6018" w:type="dxa"/>
            <w:shd w:val="clear" w:color="auto" w:fill="auto"/>
            <w:vAlign w:val="center"/>
          </w:tcPr>
          <w:p>
            <w:pPr>
              <w:spacing w:line="280" w:lineRule="exact"/>
              <w:rPr>
                <w:rFonts w:ascii="宋体" w:hAnsi="宋体"/>
                <w:szCs w:val="21"/>
              </w:rPr>
            </w:pPr>
            <w:r>
              <w:rPr>
                <w:rFonts w:ascii="宋体" w:hAnsi="宋体"/>
                <w:szCs w:val="21"/>
              </w:rPr>
              <w:t>成本分析是科室成本核算的核心，全方位展现成本核算的产出结果。包括：医院收入成本收益、临床科室收入成本收益、医技科室收入成本收益、科室的成本构成明细、科室固定成本/变动成本、科室可控成本/不可控成本、科室直接成本/间接成本、科室成本类型、本期与上期/预算/去年同期成本比较、成本分摊表等，并能提供报表打印，导出到excel，历史数据保存等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ascii="宋体" w:hAnsi="宋体" w:cs="宋体"/>
                <w:szCs w:val="21"/>
              </w:rPr>
              <w:t>本量利分析</w:t>
            </w:r>
          </w:p>
        </w:tc>
        <w:tc>
          <w:tcPr>
            <w:tcW w:w="6018" w:type="dxa"/>
            <w:shd w:val="clear" w:color="auto" w:fill="auto"/>
            <w:vAlign w:val="center"/>
          </w:tcPr>
          <w:p>
            <w:pPr>
              <w:spacing w:line="280" w:lineRule="exact"/>
              <w:rPr>
                <w:rFonts w:ascii="宋体" w:hAnsi="宋体"/>
                <w:szCs w:val="21"/>
              </w:rPr>
            </w:pPr>
            <w:r>
              <w:rPr>
                <w:rFonts w:ascii="宋体" w:hAnsi="宋体"/>
                <w:szCs w:val="21"/>
              </w:rPr>
              <w:t>支持对核算月内，门诊/住院/医技收入、成本、收益及保本工作量和保本收入的查询分析。并支持对核算月内，医院单位收入、成本、收益查询分析。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ascii="宋体" w:hAnsi="宋体" w:cs="宋体"/>
                <w:szCs w:val="21"/>
              </w:rPr>
              <w:t>成本监测</w:t>
            </w:r>
          </w:p>
        </w:tc>
        <w:tc>
          <w:tcPr>
            <w:tcW w:w="6018" w:type="dxa"/>
            <w:shd w:val="clear" w:color="auto" w:fill="auto"/>
            <w:vAlign w:val="center"/>
          </w:tcPr>
          <w:p>
            <w:pPr>
              <w:spacing w:line="280" w:lineRule="exact"/>
              <w:rPr>
                <w:rFonts w:ascii="宋体" w:hAnsi="宋体"/>
                <w:szCs w:val="21"/>
              </w:rPr>
            </w:pPr>
            <w:r>
              <w:rPr>
                <w:rFonts w:ascii="宋体" w:hAnsi="宋体"/>
                <w:szCs w:val="21"/>
              </w:rPr>
              <w:t>支持对监测指标的实际成本与监测指标的规范成本进行对比。监测指标的规范成本可以为区域级成本、医院等级成本等。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ascii="宋体" w:hAnsi="宋体" w:cs="宋体"/>
                <w:szCs w:val="21"/>
              </w:rPr>
              <w:t>报表管理</w:t>
            </w:r>
          </w:p>
        </w:tc>
        <w:tc>
          <w:tcPr>
            <w:tcW w:w="6018" w:type="dxa"/>
            <w:shd w:val="clear" w:color="auto" w:fill="auto"/>
            <w:vAlign w:val="center"/>
          </w:tcPr>
          <w:p>
            <w:pPr>
              <w:spacing w:line="280" w:lineRule="exact"/>
              <w:rPr>
                <w:rFonts w:ascii="宋体" w:hAnsi="宋体"/>
                <w:szCs w:val="21"/>
              </w:rPr>
            </w:pPr>
            <w:r>
              <w:rPr>
                <w:rFonts w:ascii="宋体" w:hAnsi="宋体"/>
                <w:szCs w:val="21"/>
              </w:rPr>
              <w:t>实现科室成本报表定义，根据模板自动生成成本报表。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restart"/>
            <w:shd w:val="clear" w:color="auto" w:fill="BDD6EE"/>
          </w:tcPr>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hint="eastAsia" w:ascii="宋体" w:hAnsi="宋体"/>
                <w:b/>
              </w:rPr>
            </w:pPr>
          </w:p>
          <w:p>
            <w:pPr>
              <w:widowControl/>
              <w:jc w:val="left"/>
              <w:rPr>
                <w:rFonts w:ascii="宋体" w:hAnsi="宋体"/>
                <w:b/>
              </w:rPr>
            </w:pPr>
            <w:r>
              <w:rPr>
                <w:rFonts w:ascii="宋体" w:hAnsi="宋体"/>
                <w:b/>
              </w:rPr>
              <w:t>8</w:t>
            </w:r>
          </w:p>
        </w:tc>
        <w:tc>
          <w:tcPr>
            <w:tcW w:w="1240" w:type="dxa"/>
            <w:vMerge w:val="restart"/>
            <w:shd w:val="clear" w:color="auto" w:fill="FFFFFF" w:themeFill="background1"/>
            <w:vAlign w:val="center"/>
          </w:tcPr>
          <w:p>
            <w:pPr>
              <w:spacing w:line="280" w:lineRule="exact"/>
              <w:jc w:val="center"/>
              <w:rPr>
                <w:rFonts w:ascii="宋体" w:hAnsi="宋体" w:cs="宋体"/>
                <w:szCs w:val="21"/>
              </w:rPr>
            </w:pPr>
            <w:r>
              <w:rPr>
                <w:rFonts w:hint="eastAsia" w:ascii="Calibri" w:hAnsi="Calibri"/>
                <w:b/>
              </w:rPr>
              <w:t>项目成本核算系统</w:t>
            </w: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基础数据维护</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系统需具备基础数据维护功能，包括收入数据、成本数据、其他数据等。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核算方法与核算模型</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项目成本核算方法需支持作业成本法、比例系数法、成本当量法。</w:t>
            </w:r>
          </w:p>
          <w:p>
            <w:pPr>
              <w:spacing w:line="280" w:lineRule="exact"/>
              <w:rPr>
                <w:rFonts w:ascii="宋体" w:hAnsi="宋体"/>
                <w:szCs w:val="21"/>
              </w:rPr>
            </w:pPr>
            <w:r>
              <w:rPr>
                <w:rFonts w:hint="eastAsia" w:ascii="宋体" w:hAnsi="宋体"/>
                <w:szCs w:val="21"/>
              </w:rPr>
              <w:t>可根据核算方法的不同搭建不同的核算模型，支持作业成本法、比例系数法、成本当量法，可进行直接成本和间接成本核算模型的搭建，作业成本法支持引用作业成本知识库，体现某科室某服务项目的人工配备、材料消耗、设备配置等资源消耗因素；成本当量法支持项目当量值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成本计算</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具备目标成本的计算以及实际成本的测算功能。</w:t>
            </w:r>
          </w:p>
          <w:p>
            <w:pPr>
              <w:spacing w:line="280" w:lineRule="exact"/>
              <w:rPr>
                <w:rFonts w:ascii="宋体" w:hAnsi="宋体"/>
                <w:szCs w:val="21"/>
              </w:rPr>
            </w:pPr>
            <w:r>
              <w:rPr>
                <w:rFonts w:hint="eastAsia" w:ascii="宋体" w:hAnsi="宋体"/>
                <w:szCs w:val="21"/>
              </w:rPr>
              <w:t>使用作业成本法对医疗服务项目的间接成本进行分摊时，分摊过程分为：资源成本分配和作业成本分配。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szCs w:val="21"/>
              </w:rPr>
            </w:pPr>
            <w:r>
              <w:rPr>
                <w:rFonts w:hint="eastAsia" w:ascii="宋体" w:hAnsi="宋体"/>
                <w:szCs w:val="21"/>
              </w:rPr>
              <w:t>成本报表与分析</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成本报表需支持从成本收益、成本分析、成本结构、成本控制等角度对项目成本核算结果进行分析。</w:t>
            </w:r>
          </w:p>
          <w:p>
            <w:pPr>
              <w:spacing w:line="280" w:lineRule="exact"/>
              <w:rPr>
                <w:rFonts w:ascii="宋体" w:hAnsi="宋体"/>
                <w:szCs w:val="21"/>
              </w:rPr>
            </w:pPr>
            <w:r>
              <w:rPr>
                <w:rFonts w:hint="eastAsia" w:ascii="宋体" w:hAnsi="宋体"/>
                <w:szCs w:val="21"/>
              </w:rPr>
              <w:t>成本分析需支持人员效率分析、设备使用率分析、物资利用率分析以及目标成本分析等。可自动生成成本报告。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restart"/>
            <w:shd w:val="clear" w:color="auto" w:fill="BDD6EE"/>
          </w:tcPr>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r>
              <w:rPr>
                <w:rFonts w:ascii="宋体" w:hAnsi="宋体"/>
                <w:b/>
              </w:rPr>
              <w:t>9</w:t>
            </w:r>
          </w:p>
        </w:tc>
        <w:tc>
          <w:tcPr>
            <w:tcW w:w="1240" w:type="dxa"/>
            <w:vMerge w:val="restart"/>
            <w:shd w:val="clear" w:color="auto" w:fill="FFFFFF" w:themeFill="background1"/>
            <w:vAlign w:val="center"/>
          </w:tcPr>
          <w:p>
            <w:pPr>
              <w:spacing w:line="280" w:lineRule="exact"/>
              <w:jc w:val="center"/>
              <w:rPr>
                <w:rFonts w:ascii="宋体" w:hAnsi="宋体" w:cs="宋体"/>
                <w:szCs w:val="21"/>
              </w:rPr>
            </w:pPr>
            <w:r>
              <w:rPr>
                <w:rFonts w:hint="eastAsia"/>
                <w:b/>
              </w:rPr>
              <w:t>病种成本核算系统</w:t>
            </w: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基础数据管理</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基础数据维护，包括病案首页、病例收费明细、临床路径、项目成本等。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DD6EE"/>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核算模型</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实现按照给定规则进行样本病历数据筛选，支持病种核算模型的搭建，模型可分科室级核算模型以及院级核算模型。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具备成本计算功能</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支持成本计算，可计算病人病历成本、科室病种成本、院级病种成本。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1" w:hRule="atLeast"/>
          <w:jc w:val="center"/>
        </w:trPr>
        <w:tc>
          <w:tcPr>
            <w:tcW w:w="712" w:type="dxa"/>
            <w:vMerge w:val="continue"/>
            <w:shd w:val="clear" w:color="auto" w:fill="BDD6EE"/>
          </w:tcPr>
          <w:p>
            <w:pPr>
              <w:widowControl/>
              <w:jc w:val="left"/>
              <w:rPr>
                <w:rFonts w:ascii="宋体" w:hAnsi="宋体"/>
                <w:b/>
              </w:rPr>
            </w:pPr>
          </w:p>
        </w:tc>
        <w:tc>
          <w:tcPr>
            <w:tcW w:w="1240" w:type="dxa"/>
            <w:vMerge w:val="continue"/>
            <w:shd w:val="clear" w:color="auto" w:fill="FFFFFF" w:themeFill="background1"/>
            <w:vAlign w:val="center"/>
          </w:tcPr>
          <w:p>
            <w:pPr>
              <w:spacing w:line="280" w:lineRule="exact"/>
              <w:jc w:val="center"/>
              <w:rPr>
                <w:rFonts w:ascii="宋体" w:hAnsi="宋体" w:cs="宋体"/>
                <w:szCs w:val="21"/>
              </w:rPr>
            </w:pPr>
          </w:p>
        </w:tc>
        <w:tc>
          <w:tcPr>
            <w:tcW w:w="1179" w:type="dxa"/>
            <w:shd w:val="clear" w:color="auto" w:fill="auto"/>
            <w:vAlign w:val="center"/>
          </w:tcPr>
          <w:p>
            <w:pPr>
              <w:spacing w:line="280" w:lineRule="exact"/>
              <w:jc w:val="center"/>
              <w:rPr>
                <w:rFonts w:ascii="宋体" w:hAnsi="宋体" w:cs="宋体"/>
                <w:szCs w:val="21"/>
              </w:rPr>
            </w:pPr>
            <w:r>
              <w:rPr>
                <w:rFonts w:hint="eastAsia" w:ascii="宋体" w:hAnsi="宋体" w:cs="宋体"/>
                <w:szCs w:val="21"/>
              </w:rPr>
              <w:t>成本分析</w:t>
            </w:r>
          </w:p>
        </w:tc>
        <w:tc>
          <w:tcPr>
            <w:tcW w:w="6018" w:type="dxa"/>
            <w:shd w:val="clear" w:color="auto" w:fill="auto"/>
            <w:vAlign w:val="center"/>
          </w:tcPr>
          <w:p>
            <w:pPr>
              <w:spacing w:line="280" w:lineRule="exact"/>
              <w:rPr>
                <w:rFonts w:ascii="宋体" w:hAnsi="宋体"/>
                <w:szCs w:val="21"/>
              </w:rPr>
            </w:pPr>
            <w:r>
              <w:rPr>
                <w:rFonts w:hint="eastAsia" w:ascii="宋体" w:hAnsi="宋体"/>
                <w:szCs w:val="21"/>
              </w:rPr>
              <w:t xml:space="preserve">支持对病种进行构成分析、趋势分析、对比分析、控制分析、单病种分析；可自动生成病种成本报告。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31" w:hRule="atLeast"/>
          <w:jc w:val="center"/>
        </w:trPr>
        <w:tc>
          <w:tcPr>
            <w:tcW w:w="9149" w:type="dxa"/>
            <w:gridSpan w:val="4"/>
            <w:shd w:val="clear" w:color="auto" w:fill="BDD6EE"/>
          </w:tcPr>
          <w:p>
            <w:pPr>
              <w:widowControl/>
              <w:jc w:val="left"/>
              <w:rPr>
                <w:rFonts w:hint="eastAsia" w:ascii="宋体" w:hAnsi="宋体" w:eastAsia="宋体"/>
                <w:szCs w:val="21"/>
                <w:lang w:eastAsia="zh-CN"/>
              </w:rPr>
            </w:pPr>
            <w:r>
              <w:rPr>
                <w:rFonts w:hint="eastAsia" w:ascii="宋体" w:hAnsi="宋体" w:eastAsia="宋体"/>
                <w:szCs w:val="21"/>
                <w:lang w:eastAsia="zh-CN"/>
              </w:rPr>
              <w:t>备注：与本院集成平台，互联互通的接口费用由供应商承担</w:t>
            </w:r>
          </w:p>
        </w:tc>
      </w:tr>
    </w:tbl>
    <w:p>
      <w:pPr>
        <w:rPr>
          <w:rFonts w:hint="eastAsia" w:eastAsia="宋体"/>
          <w:lang w:eastAsia="zh-CN"/>
        </w:rPr>
      </w:pPr>
      <w:bookmarkStart w:id="0" w:name="_GoBack"/>
      <w:bookmarkEnd w:id="0"/>
    </w:p>
    <w:sectPr>
      <w:pgSz w:w="11900" w:h="16840"/>
      <w:pgMar w:top="1418" w:right="1474" w:bottom="1418" w:left="1474" w:header="851" w:footer="851" w:gutter="0"/>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EED10"/>
    <w:multiLevelType w:val="singleLevel"/>
    <w:tmpl w:val="832EED10"/>
    <w:lvl w:ilvl="0" w:tentative="0">
      <w:start w:val="1"/>
      <w:numFmt w:val="decimal"/>
      <w:suff w:val="nothing"/>
      <w:lvlText w:val="%1、"/>
      <w:lvlJc w:val="left"/>
    </w:lvl>
  </w:abstractNum>
  <w:abstractNum w:abstractNumId="1">
    <w:nsid w:val="A12210B7"/>
    <w:multiLevelType w:val="singleLevel"/>
    <w:tmpl w:val="A12210B7"/>
    <w:lvl w:ilvl="0" w:tentative="0">
      <w:start w:val="1"/>
      <w:numFmt w:val="decimal"/>
      <w:suff w:val="nothing"/>
      <w:lvlText w:val="%1、"/>
      <w:lvlJc w:val="left"/>
    </w:lvl>
  </w:abstractNum>
  <w:abstractNum w:abstractNumId="2">
    <w:nsid w:val="D49229AD"/>
    <w:multiLevelType w:val="singleLevel"/>
    <w:tmpl w:val="D49229AD"/>
    <w:lvl w:ilvl="0" w:tentative="0">
      <w:start w:val="1"/>
      <w:numFmt w:val="decimal"/>
      <w:suff w:val="nothing"/>
      <w:lvlText w:val="%1、"/>
      <w:lvlJc w:val="left"/>
    </w:lvl>
  </w:abstractNum>
  <w:abstractNum w:abstractNumId="3">
    <w:nsid w:val="3AA8845A"/>
    <w:multiLevelType w:val="singleLevel"/>
    <w:tmpl w:val="3AA8845A"/>
    <w:lvl w:ilvl="0" w:tentative="0">
      <w:start w:val="1"/>
      <w:numFmt w:val="decimal"/>
      <w:suff w:val="nothing"/>
      <w:lvlText w:val="%1、"/>
      <w:lvlJc w:val="left"/>
    </w:lvl>
  </w:abstractNum>
  <w:abstractNum w:abstractNumId="4">
    <w:nsid w:val="79F5418E"/>
    <w:multiLevelType w:val="singleLevel"/>
    <w:tmpl w:val="79F5418E"/>
    <w:lvl w:ilvl="0" w:tentative="0">
      <w:start w:val="1"/>
      <w:numFmt w:val="decimal"/>
      <w:suff w:val="nothing"/>
      <w:lvlText w:val="%1、"/>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A2"/>
    <w:rsid w:val="002E392A"/>
    <w:rsid w:val="00466DA2"/>
    <w:rsid w:val="00564536"/>
    <w:rsid w:val="00651FDD"/>
    <w:rsid w:val="007F22F7"/>
    <w:rsid w:val="00A972D5"/>
    <w:rsid w:val="00B21AC7"/>
    <w:rsid w:val="00CD75DA"/>
    <w:rsid w:val="00D07120"/>
    <w:rsid w:val="00D7231D"/>
    <w:rsid w:val="00FD716D"/>
    <w:rsid w:val="132A741F"/>
    <w:rsid w:val="1851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1139</Words>
  <Characters>6498</Characters>
  <Lines>54</Lines>
  <Paragraphs>15</Paragraphs>
  <TotalTime>26</TotalTime>
  <ScaleCrop>false</ScaleCrop>
  <LinksUpToDate>false</LinksUpToDate>
  <CharactersWithSpaces>7622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2021-11-11T04:37:00Z</dcterms:created>
  <dc:creator>Microsoft Office User</dc:creator>
  <cp:lastModifiedBy>杨洲</cp:lastModifiedBy>
  <cp:lastPrinted>2021-11-11T07:12:52Z</cp:lastPrinted>
  <dcterms:modified xsi:type="dcterms:W3CDTF">2021-11-11T07:19:28Z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A5B3CD85AAA34A2EB627F72182BF9F54</vt:lpwstr>
  </property>
</Properties>
</file>