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360" w:lineRule="auto"/>
        <w:ind w:left="0" w:firstLine="1767" w:firstLineChars="400"/>
        <w:jc w:val="both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血气分析仪主要技术要求</w:t>
      </w:r>
    </w:p>
    <w:p>
      <w:pPr>
        <w:pStyle w:val="12"/>
        <w:spacing w:line="360" w:lineRule="auto"/>
        <w:ind w:left="420" w:hanging="420" w:firstLineChars="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一、设备名称：血气分析仪</w:t>
      </w:r>
    </w:p>
    <w:p>
      <w:pPr>
        <w:pStyle w:val="12"/>
        <w:spacing w:line="360" w:lineRule="auto"/>
        <w:ind w:left="420" w:hanging="420" w:firstLineChars="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二、数量：2台</w:t>
      </w:r>
    </w:p>
    <w:p>
      <w:pPr>
        <w:pStyle w:val="12"/>
        <w:spacing w:line="360" w:lineRule="auto"/>
        <w:ind w:left="0" w:firstLine="0" w:firstLineChars="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三、用途：用于血气分析</w:t>
      </w:r>
      <w:bookmarkStart w:id="0" w:name="_GoBack"/>
      <w:bookmarkEnd w:id="0"/>
    </w:p>
    <w:p>
      <w:pPr>
        <w:pStyle w:val="12"/>
        <w:spacing w:line="360" w:lineRule="auto"/>
        <w:ind w:left="420" w:hanging="420" w:firstLineChars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四、主要技术参数及配置要求：</w:t>
      </w:r>
    </w:p>
    <w:p>
      <w:pPr>
        <w:pStyle w:val="12"/>
        <w:spacing w:line="360" w:lineRule="auto"/>
        <w:ind w:left="420" w:hanging="420" w:firstLineChars="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（一）配置要求</w:t>
      </w:r>
    </w:p>
    <w:tbl>
      <w:tblPr>
        <w:tblStyle w:val="9"/>
        <w:tblW w:w="85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111"/>
        <w:gridCol w:w="1630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全自动血气、电解质和生化分析仪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台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条形码扫描仪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打印纸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卷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电源适配器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质量认证报告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份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安装报告单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份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血氧检测模块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ind w:left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</w:tbl>
    <w:p>
      <w:pPr>
        <w:spacing w:line="360" w:lineRule="auto"/>
        <w:ind w:left="0" w:firstLine="0"/>
        <w:rPr>
          <w:rFonts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（二</w:t>
      </w:r>
      <w:r>
        <w:rPr>
          <w:rFonts w:hint="eastAsia" w:ascii="黑体" w:hAnsi="黑体" w:eastAsia="黑体" w:cs="黑体"/>
          <w:bCs/>
          <w:sz w:val="32"/>
          <w:szCs w:val="32"/>
        </w:rPr>
        <w:t>）主要技术参数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★1、试剂包：自动测量显示试剂容量，任何耗材使用都受到监控，显示耗材更换信息。≥40天上机稳定时间，长效期最大程度减少用户的耗材使用成本。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2、全液体定标：液体定标充分保证PH、CO2、O2、电解质、代谢物（生化）等电极工作的精准度。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★3、≥2种试剂包型号，200人份、700人份，根据不同院区不同样本量灵活选择。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具备多种进样模式：进样时无需手持样本，自动吸样，并可测定多种类型样本，包括动脉血、静脉血、动静脉混合血。其它液体：脑脊液、透析液、尿液、胸腹水以及气体等。123ul可以检测所有的参数，不包含血氧仅需103ul即可进行测量，微量模式标本量仅为40ul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5、具有远程控制系统，可实现远程监控仪器状态和故障处理超强的信息功能，2个USB接口。轻松联网LIS/HIS系统。实现双向交流的RADIANCE 远程操作软件。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6、先进的操作软件：中文操作系统，平面彩色大触摸屏幕。轻松实现人机对话。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7、独有专利的酸碱平衡图（Siggaard-Andersen Acid Base Chart）和病人趋势图：可以自动打印中文酸碱分析报告，实现真正意义上对酸碱失常的诊断与分析提供依据，直观反映病人的酸碱状态，迅速说明代谢和呼吸状况，区分急性和慢性病例，显示SBE读数(代谢性酸碱状态)，临床医生可以根据患者的酸碱平衡诊断图可迅速判断酸碱状态，对危重症病人的抢救具有非常重要的意义。病人趋势图可以对重症病人进行周期性的监控，确保对病人的诊治手段是行之有效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8、自动质控系统：专业的多个水平的质控液，完善的质量保证体系和自我监控系统对仪器状态、操作过程不断进行监测，保证每一次检测的准确性。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★9、当日标本大于10个，单测试成本≦28元/单测试，包括检测用所有试剂耗材、定标、室内质控。</w:t>
      </w:r>
    </w:p>
    <w:p>
      <w:pPr>
        <w:pStyle w:val="12"/>
        <w:numPr>
          <w:ilvl w:val="0"/>
          <w:numId w:val="1"/>
        </w:numPr>
        <w:spacing w:line="360" w:lineRule="auto"/>
        <w:ind w:left="420" w:hanging="420" w:firstLineChars="0"/>
        <w:rPr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其他要求：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1、试剂耗材、试剂一并招采。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2、供应商应取得制造厂家或中国总代理的授权书。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3、仪器到达医院指定地点后，成交供应商负责协调设备安装、调试，对操作人员进行现场培训，直至技术人员能独立操作，同时能完成一般常见故障的维修工作，并承担相应费用。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4、成交供应商保证年开机率大于95％（365天/年计算），否则医院停止耗材、试剂供应资质，甚至停用该仪器。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5、仪器操作等软件提供终身免费升级。使用期间维护、维修所有费用（包括所有配件的费用）由试剂耗材供应商承担。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6、设备发生故障后2小时内能响应，远程指导修复。否则24小时内工程师应到现场维修，恢复设备正常运行，甚至提供备用机。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7、供货要求：按医院指定地点供货并安装。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8、预算价：4.8万元/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响应</w:t>
      </w:r>
      <w:r>
        <w:rPr>
          <w:rFonts w:hint="eastAsia" w:ascii="仿宋" w:hAnsi="仿宋" w:eastAsia="仿宋" w:cs="仿宋"/>
          <w:sz w:val="32"/>
          <w:szCs w:val="32"/>
        </w:rPr>
        <w:t>文件中提供《试剂、耗材表》，格式及内容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如下：</w:t>
      </w:r>
    </w:p>
    <w:p>
      <w:pPr>
        <w:pStyle w:val="12"/>
        <w:spacing w:line="360" w:lineRule="auto"/>
        <w:ind w:left="0" w:firstLine="0" w:firstLineChars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试剂、耗材表</w:t>
      </w:r>
    </w:p>
    <w:tbl>
      <w:tblPr>
        <w:tblStyle w:val="10"/>
        <w:tblW w:w="907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862"/>
        <w:gridCol w:w="813"/>
        <w:gridCol w:w="1150"/>
        <w:gridCol w:w="1075"/>
        <w:gridCol w:w="1312"/>
        <w:gridCol w:w="663"/>
        <w:gridCol w:w="1150"/>
        <w:gridCol w:w="12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63" w:type="dxa"/>
            <w:vAlign w:val="center"/>
          </w:tcPr>
          <w:p>
            <w:pPr>
              <w:pStyle w:val="12"/>
              <w:spacing w:line="360" w:lineRule="auto"/>
              <w:ind w:left="0" w:firstLine="0" w:firstLineChars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品名</w:t>
            </w:r>
          </w:p>
        </w:tc>
        <w:tc>
          <w:tcPr>
            <w:tcW w:w="862" w:type="dxa"/>
            <w:vAlign w:val="center"/>
          </w:tcPr>
          <w:p>
            <w:pPr>
              <w:pStyle w:val="12"/>
              <w:spacing w:line="360" w:lineRule="auto"/>
              <w:ind w:left="0" w:firstLine="0" w:firstLineChars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规格</w:t>
            </w:r>
          </w:p>
        </w:tc>
        <w:tc>
          <w:tcPr>
            <w:tcW w:w="813" w:type="dxa"/>
            <w:vAlign w:val="center"/>
          </w:tcPr>
          <w:p>
            <w:pPr>
              <w:pStyle w:val="12"/>
              <w:spacing w:line="360" w:lineRule="auto"/>
              <w:ind w:left="0" w:firstLine="0" w:firstLineChars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</w:t>
            </w:r>
          </w:p>
        </w:tc>
        <w:tc>
          <w:tcPr>
            <w:tcW w:w="1150" w:type="dxa"/>
            <w:vAlign w:val="center"/>
          </w:tcPr>
          <w:p>
            <w:pPr>
              <w:pStyle w:val="12"/>
              <w:spacing w:line="360" w:lineRule="auto"/>
              <w:ind w:left="0" w:firstLine="0" w:firstLineChars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生产厂家</w:t>
            </w:r>
          </w:p>
        </w:tc>
        <w:tc>
          <w:tcPr>
            <w:tcW w:w="1075" w:type="dxa"/>
            <w:vAlign w:val="center"/>
          </w:tcPr>
          <w:p>
            <w:pPr>
              <w:pStyle w:val="12"/>
              <w:spacing w:line="360" w:lineRule="auto"/>
              <w:ind w:left="0" w:firstLine="0" w:firstLineChars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注册证号</w:t>
            </w:r>
          </w:p>
        </w:tc>
        <w:tc>
          <w:tcPr>
            <w:tcW w:w="1312" w:type="dxa"/>
            <w:vAlign w:val="center"/>
          </w:tcPr>
          <w:p>
            <w:pPr>
              <w:pStyle w:val="12"/>
              <w:spacing w:line="360" w:lineRule="auto"/>
              <w:ind w:left="0" w:firstLine="0" w:firstLineChars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挂网流水号</w:t>
            </w:r>
          </w:p>
        </w:tc>
        <w:tc>
          <w:tcPr>
            <w:tcW w:w="663" w:type="dxa"/>
            <w:vAlign w:val="center"/>
          </w:tcPr>
          <w:p>
            <w:pPr>
              <w:pStyle w:val="12"/>
              <w:spacing w:line="360" w:lineRule="auto"/>
              <w:ind w:left="0" w:firstLine="0" w:firstLineChars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价格</w:t>
            </w:r>
          </w:p>
        </w:tc>
        <w:tc>
          <w:tcPr>
            <w:tcW w:w="1150" w:type="dxa"/>
            <w:vAlign w:val="center"/>
          </w:tcPr>
          <w:p>
            <w:pPr>
              <w:pStyle w:val="12"/>
              <w:spacing w:line="360" w:lineRule="auto"/>
              <w:ind w:left="0" w:firstLine="0" w:firstLineChars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使用仪器</w:t>
            </w:r>
          </w:p>
        </w:tc>
        <w:tc>
          <w:tcPr>
            <w:tcW w:w="1287" w:type="dxa"/>
            <w:vAlign w:val="center"/>
          </w:tcPr>
          <w:p>
            <w:pPr>
              <w:pStyle w:val="12"/>
              <w:spacing w:line="360" w:lineRule="auto"/>
              <w:ind w:left="0" w:firstLine="0" w:firstLineChars="0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检验项目名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763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2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3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50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5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2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63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50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7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763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2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3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50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5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2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63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50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87" w:type="dxa"/>
          </w:tcPr>
          <w:p>
            <w:pPr>
              <w:pStyle w:val="12"/>
              <w:spacing w:line="360" w:lineRule="auto"/>
              <w:ind w:left="0" w:firstLine="0" w:firstLineChars="0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注：“★”项为本项目重要技术参数，必需满足，不允许负偏离。</w:t>
      </w:r>
    </w:p>
    <w:p>
      <w:pPr>
        <w:pStyle w:val="12"/>
        <w:spacing w:line="360" w:lineRule="auto"/>
        <w:ind w:left="0" w:firstLine="0" w:firstLineChars="0"/>
        <w:rPr>
          <w:rFonts w:ascii="仿宋" w:hAnsi="仿宋" w:eastAsia="仿宋" w:cs="仿宋"/>
          <w:szCs w:val="21"/>
        </w:rPr>
      </w:pPr>
    </w:p>
    <w:p>
      <w:pPr>
        <w:pStyle w:val="4"/>
        <w:ind w:left="0" w:firstLine="0" w:firstLineChars="0"/>
      </w:pPr>
    </w:p>
    <w:sectPr>
      <w:pgSz w:w="11906" w:h="16838"/>
      <w:pgMar w:top="1568" w:right="1690" w:bottom="1487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34" w:lineRule="auto"/>
      </w:pPr>
      <w:r>
        <w:separator/>
      </w:r>
    </w:p>
  </w:footnote>
  <w:footnote w:type="continuationSeparator" w:id="1">
    <w:p>
      <w:pPr>
        <w:spacing w:before="0" w:after="0" w:line="43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744142"/>
    <w:multiLevelType w:val="singleLevel"/>
    <w:tmpl w:val="A774414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8105453"/>
    <w:rsid w:val="00033356"/>
    <w:rsid w:val="000925BC"/>
    <w:rsid w:val="000B2FB3"/>
    <w:rsid w:val="000D57F8"/>
    <w:rsid w:val="001676A0"/>
    <w:rsid w:val="001D4831"/>
    <w:rsid w:val="00232310"/>
    <w:rsid w:val="00264DE6"/>
    <w:rsid w:val="003B6A73"/>
    <w:rsid w:val="0045722E"/>
    <w:rsid w:val="00480D46"/>
    <w:rsid w:val="00530FC3"/>
    <w:rsid w:val="00593CEE"/>
    <w:rsid w:val="005C2594"/>
    <w:rsid w:val="005E4B57"/>
    <w:rsid w:val="006D5F71"/>
    <w:rsid w:val="00790332"/>
    <w:rsid w:val="007C327B"/>
    <w:rsid w:val="007C5746"/>
    <w:rsid w:val="00870546"/>
    <w:rsid w:val="008D2F5E"/>
    <w:rsid w:val="00947F9B"/>
    <w:rsid w:val="009B1F7B"/>
    <w:rsid w:val="00A2577E"/>
    <w:rsid w:val="00A40477"/>
    <w:rsid w:val="00BF0B14"/>
    <w:rsid w:val="00C8229C"/>
    <w:rsid w:val="00DD2C1E"/>
    <w:rsid w:val="00E70ECA"/>
    <w:rsid w:val="00E90167"/>
    <w:rsid w:val="00F327E9"/>
    <w:rsid w:val="00F93BDA"/>
    <w:rsid w:val="00FA7B30"/>
    <w:rsid w:val="00FD63C6"/>
    <w:rsid w:val="03843BDC"/>
    <w:rsid w:val="14DB1179"/>
    <w:rsid w:val="1C07510B"/>
    <w:rsid w:val="244B3CEF"/>
    <w:rsid w:val="272A3375"/>
    <w:rsid w:val="27C816F8"/>
    <w:rsid w:val="28B62CB9"/>
    <w:rsid w:val="2BEA4C81"/>
    <w:rsid w:val="33544ECA"/>
    <w:rsid w:val="3E503511"/>
    <w:rsid w:val="44B223ED"/>
    <w:rsid w:val="50662C8F"/>
    <w:rsid w:val="553E2652"/>
    <w:rsid w:val="5DC0778A"/>
    <w:rsid w:val="68105453"/>
    <w:rsid w:val="72807B9F"/>
    <w:rsid w:val="75265294"/>
    <w:rsid w:val="76BF1F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1" w:line="434" w:lineRule="auto"/>
      <w:ind w:left="6" w:hanging="6"/>
    </w:pPr>
    <w:rPr>
      <w:rFonts w:ascii="宋体" w:hAnsi="宋体" w:eastAsia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黑体"/>
      <w:color w:val="000000"/>
      <w:sz w:val="24"/>
      <w:szCs w:val="24"/>
      <w:lang w:val="en-US" w:eastAsia="zh-CN" w:bidi="ar-SA"/>
    </w:rPr>
  </w:style>
  <w:style w:type="paragraph" w:customStyle="1" w:styleId="3">
    <w:name w:val="大标题"/>
    <w:basedOn w:val="1"/>
    <w:next w:val="4"/>
    <w:qFormat/>
    <w:uiPriority w:val="0"/>
    <w:pPr>
      <w:jc w:val="center"/>
    </w:pPr>
    <w:rPr>
      <w:rFonts w:ascii="Arial" w:hAnsi="Arial"/>
      <w:b/>
      <w:sz w:val="28"/>
      <w:szCs w:val="24"/>
    </w:rPr>
  </w:style>
  <w:style w:type="paragraph" w:styleId="4">
    <w:name w:val="Body Text First Indent 2"/>
    <w:basedOn w:val="5"/>
    <w:next w:val="1"/>
    <w:qFormat/>
    <w:uiPriority w:val="0"/>
    <w:pPr>
      <w:overflowPunct w:val="0"/>
      <w:adjustRightInd w:val="0"/>
      <w:spacing w:line="500" w:lineRule="exact"/>
      <w:ind w:firstLine="420" w:firstLineChars="200"/>
      <w:textAlignment w:val="baseline"/>
    </w:pPr>
    <w:rPr>
      <w:rFonts w:eastAsia="仿宋_GB2312"/>
      <w:kern w:val="28"/>
      <w:sz w:val="28"/>
    </w:rPr>
  </w:style>
  <w:style w:type="paragraph" w:styleId="5">
    <w:name w:val="Body Text Indent"/>
    <w:basedOn w:val="1"/>
    <w:qFormat/>
    <w:uiPriority w:val="99"/>
    <w:pPr>
      <w:spacing w:line="400" w:lineRule="exact"/>
      <w:ind w:left="630"/>
    </w:pPr>
    <w:rPr>
      <w:rFonts w:ascii="楷体_GB2312"/>
      <w:sz w:val="30"/>
      <w:szCs w:val="30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index 1"/>
    <w:basedOn w:val="1"/>
    <w:next w:val="1"/>
    <w:qFormat/>
    <w:uiPriority w:val="0"/>
    <w:rPr>
      <w:szCs w:val="20"/>
    </w:rPr>
  </w:style>
  <w:style w:type="table" w:styleId="10">
    <w:name w:val="Table Grid"/>
    <w:basedOn w:val="9"/>
    <w:qFormat/>
    <w:uiPriority w:val="39"/>
    <w:rPr>
      <w:rFonts w:ascii="Calibri" w:hAnsi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spacing w:after="209" w:line="259" w:lineRule="auto"/>
      <w:ind w:left="10" w:firstLine="420" w:firstLineChars="200"/>
    </w:pPr>
  </w:style>
  <w:style w:type="character" w:customStyle="1" w:styleId="13">
    <w:name w:val="页眉 Char"/>
    <w:basedOn w:val="11"/>
    <w:link w:val="7"/>
    <w:qFormat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215</Words>
  <Characters>1229</Characters>
  <Lines>10</Lines>
  <Paragraphs>2</Paragraphs>
  <TotalTime>21</TotalTime>
  <ScaleCrop>false</ScaleCrop>
  <LinksUpToDate>false</LinksUpToDate>
  <CharactersWithSpaces>1442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2022-05-06T01:36:00Z</dcterms:created>
  <dc:creator>86156</dc:creator>
  <cp:lastModifiedBy>-符浩-</cp:lastModifiedBy>
  <dcterms:modified xsi:type="dcterms:W3CDTF">2022-12-29T10:16:30Z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36101B8A04604EC99B739D8E3CEE5271</vt:lpwstr>
  </property>
</Properties>
</file>